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CD3C6" w14:textId="77777777" w:rsidR="00043F35" w:rsidRPr="00043F35" w:rsidRDefault="00043F35" w:rsidP="00043F35">
      <w:pPr>
        <w:rPr>
          <w:b/>
          <w:bCs/>
        </w:rPr>
      </w:pPr>
      <w:r w:rsidRPr="00043F35">
        <w:rPr>
          <w:b/>
          <w:bCs/>
        </w:rPr>
        <w:t>Резюме</w:t>
      </w:r>
    </w:p>
    <w:p w14:paraId="113118AC" w14:textId="6134A362" w:rsidR="00043F35" w:rsidRDefault="00043F35" w:rsidP="00043F35">
      <w:r w:rsidRPr="00043F35">
        <w:rPr>
          <w:b/>
          <w:bCs/>
        </w:rPr>
        <w:t>Цель</w:t>
      </w:r>
    </w:p>
    <w:p w14:paraId="238C370F" w14:textId="59051F5B" w:rsidR="00043F35" w:rsidRDefault="00043F35" w:rsidP="00043F35">
      <w:r>
        <w:t>Определить частоту факторов риска (ФР) сердечно-сосудистых заболеваний (ССЗ) и хронической болезни</w:t>
      </w:r>
      <w:r w:rsidRPr="00043F35">
        <w:t xml:space="preserve"> </w:t>
      </w:r>
      <w:r>
        <w:t>почек (ХБП) среди пациентов с хронической обструктивной болезнью легких (ХОБЛ).</w:t>
      </w:r>
    </w:p>
    <w:p w14:paraId="5528F33E" w14:textId="77777777" w:rsidR="00043F35" w:rsidRPr="00043F35" w:rsidRDefault="00043F35" w:rsidP="00043F35">
      <w:pPr>
        <w:rPr>
          <w:b/>
          <w:bCs/>
        </w:rPr>
      </w:pPr>
      <w:r w:rsidRPr="00043F35">
        <w:rPr>
          <w:b/>
          <w:bCs/>
        </w:rPr>
        <w:t>Материалы и методы</w:t>
      </w:r>
    </w:p>
    <w:p w14:paraId="1F088597" w14:textId="333A877B" w:rsidR="00043F35" w:rsidRDefault="00043F35" w:rsidP="00043F35">
      <w:r>
        <w:t>Обследовано 300 пациентов с верифицированным диагнозом ХОБЛ I–IV степени тяжести согласно критериям</w:t>
      </w:r>
      <w:r w:rsidRPr="00043F35">
        <w:t xml:space="preserve"> </w:t>
      </w:r>
      <w:r>
        <w:t>GOLD (2011). Изучена частота таких ФР ССЗ и ХБП, как возраст &gt; 45 лет, мужской пол, артериальная гипертония (АГ), нарушение углеводного обмена, гиперхолестеринемия (уровень общего холестерина &gt; 5,0 ммоль/л),</w:t>
      </w:r>
      <w:r w:rsidRPr="00043F35">
        <w:t xml:space="preserve"> </w:t>
      </w:r>
      <w:r>
        <w:t>индекс массы тела (ИМТ) &gt; 25 кг/м</w:t>
      </w:r>
      <w:r w:rsidRPr="00043F35">
        <w:rPr>
          <w:vertAlign w:val="superscript"/>
        </w:rPr>
        <w:t>2</w:t>
      </w:r>
      <w:r>
        <w:t>, частота и интенсивность курения, рассчитана скорость клубочковой</w:t>
      </w:r>
      <w:r w:rsidRPr="00043F35">
        <w:t xml:space="preserve"> </w:t>
      </w:r>
      <w:r>
        <w:t>фильтрации (СКФ) по формуле CKD-EPI.</w:t>
      </w:r>
    </w:p>
    <w:p w14:paraId="24F9B332" w14:textId="77777777" w:rsidR="00043F35" w:rsidRPr="00043F35" w:rsidRDefault="00043F35" w:rsidP="00043F35">
      <w:pPr>
        <w:rPr>
          <w:b/>
          <w:bCs/>
        </w:rPr>
      </w:pPr>
      <w:r w:rsidRPr="00043F35">
        <w:rPr>
          <w:b/>
          <w:bCs/>
        </w:rPr>
        <w:t>Результаты</w:t>
      </w:r>
    </w:p>
    <w:p w14:paraId="25BDD104" w14:textId="0D7C612F" w:rsidR="00043F35" w:rsidRDefault="00043F35" w:rsidP="00043F35">
      <w:r>
        <w:t>Выявлена высокая частота ФР CCЗ: 100% пациентов имеют ФР ССЗ, сочетание ≥ 3 ФР у 92,6%, определена</w:t>
      </w:r>
      <w:r w:rsidRPr="00043F35">
        <w:t xml:space="preserve"> </w:t>
      </w:r>
      <w:r>
        <w:t>высокая распространенность снижения рСКФCKD-</w:t>
      </w:r>
      <w:proofErr w:type="gramStart"/>
      <w:r>
        <w:t>EPI&lt; 89</w:t>
      </w:r>
      <w:proofErr w:type="gramEnd"/>
      <w:r>
        <w:t xml:space="preserve"> мл/мин/1,73 м2–67,3% пациентов. Возраст &gt; 45 лет</w:t>
      </w:r>
      <w:r w:rsidRPr="00043F35">
        <w:t xml:space="preserve"> </w:t>
      </w:r>
      <w:r>
        <w:t>имели 96,4% пациентов, в т.ч. &gt; 65 лет — 78,8%; курение выявлено у 92% больных ХОБЛ; гиперхолестеринемия — у 70,3%; АГ — у 65,6%; гипергликемия — у 17,6%; ИМТ&gt;25 кг/м</w:t>
      </w:r>
      <w:r w:rsidRPr="00043F35">
        <w:rPr>
          <w:vertAlign w:val="superscript"/>
        </w:rPr>
        <w:t>2</w:t>
      </w:r>
      <w:r>
        <w:t>— у 38% больных ХОБЛ. Получена</w:t>
      </w:r>
      <w:r w:rsidRPr="00043F35">
        <w:t xml:space="preserve"> </w:t>
      </w:r>
      <w:r>
        <w:t xml:space="preserve">обратная корреляция между ИМТ и тяжестью ХОБЛ (r=-0,324, </w:t>
      </w:r>
      <w:proofErr w:type="gramStart"/>
      <w:r>
        <w:t>р&lt;</w:t>
      </w:r>
      <w:proofErr w:type="gramEnd"/>
      <w:r>
        <w:t>0,05); прямая корреляция уровня общего холестерина с возрастом пациентов и тяжестью ХОБЛ (r=0,241, r=0,198, р&lt;0,05).</w:t>
      </w:r>
    </w:p>
    <w:p w14:paraId="7E084AA2" w14:textId="77777777" w:rsidR="00043F35" w:rsidRPr="00043F35" w:rsidRDefault="00043F35" w:rsidP="00043F35">
      <w:pPr>
        <w:rPr>
          <w:b/>
          <w:bCs/>
        </w:rPr>
      </w:pPr>
      <w:r w:rsidRPr="00043F35">
        <w:rPr>
          <w:b/>
          <w:bCs/>
        </w:rPr>
        <w:t>Заключение</w:t>
      </w:r>
    </w:p>
    <w:p w14:paraId="5040B5D6" w14:textId="77A8F6AE" w:rsidR="007D2F51" w:rsidRPr="00043F35" w:rsidRDefault="00043F35" w:rsidP="00043F35">
      <w:r>
        <w:t>У пациентов с ХОБЛ происходит суммирование «традиционных» ФР ССЗ, которое определяется с одной сто</w:t>
      </w:r>
      <w:bookmarkStart w:id="0" w:name="_GoBack"/>
      <w:bookmarkEnd w:id="0"/>
      <w:r>
        <w:t>роны ХОБЛ, а с другой стороны — имеющейся дисфункцией почек.</w:t>
      </w:r>
    </w:p>
    <w:sectPr w:rsidR="007D2F51" w:rsidRPr="00043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3F35"/>
    <w:rsid w:val="00044554"/>
    <w:rsid w:val="00076914"/>
    <w:rsid w:val="000854F6"/>
    <w:rsid w:val="000F6853"/>
    <w:rsid w:val="001D0E8F"/>
    <w:rsid w:val="001E2645"/>
    <w:rsid w:val="00200DF3"/>
    <w:rsid w:val="00257F92"/>
    <w:rsid w:val="002B6113"/>
    <w:rsid w:val="002D03D4"/>
    <w:rsid w:val="002E514C"/>
    <w:rsid w:val="00381E79"/>
    <w:rsid w:val="003F6E9F"/>
    <w:rsid w:val="0041471D"/>
    <w:rsid w:val="00424125"/>
    <w:rsid w:val="0047675E"/>
    <w:rsid w:val="00477467"/>
    <w:rsid w:val="00496CD3"/>
    <w:rsid w:val="004A4573"/>
    <w:rsid w:val="004C27B9"/>
    <w:rsid w:val="005073CB"/>
    <w:rsid w:val="005120CC"/>
    <w:rsid w:val="005426F4"/>
    <w:rsid w:val="00555142"/>
    <w:rsid w:val="00583D1B"/>
    <w:rsid w:val="00633694"/>
    <w:rsid w:val="00683C4A"/>
    <w:rsid w:val="006A756B"/>
    <w:rsid w:val="006C1BBD"/>
    <w:rsid w:val="006D45C4"/>
    <w:rsid w:val="006F5AF8"/>
    <w:rsid w:val="006F6652"/>
    <w:rsid w:val="00712EB7"/>
    <w:rsid w:val="007132FF"/>
    <w:rsid w:val="00770A33"/>
    <w:rsid w:val="0077630C"/>
    <w:rsid w:val="00785A59"/>
    <w:rsid w:val="00795E32"/>
    <w:rsid w:val="007B2D19"/>
    <w:rsid w:val="007D2F51"/>
    <w:rsid w:val="00845D24"/>
    <w:rsid w:val="00886ACC"/>
    <w:rsid w:val="00895C46"/>
    <w:rsid w:val="008C23E5"/>
    <w:rsid w:val="00921232"/>
    <w:rsid w:val="0098564E"/>
    <w:rsid w:val="009C234E"/>
    <w:rsid w:val="00A508BF"/>
    <w:rsid w:val="00A55BBB"/>
    <w:rsid w:val="00A569A0"/>
    <w:rsid w:val="00AA27B4"/>
    <w:rsid w:val="00AE1722"/>
    <w:rsid w:val="00B17EC5"/>
    <w:rsid w:val="00B2033C"/>
    <w:rsid w:val="00B64F38"/>
    <w:rsid w:val="00BA1F18"/>
    <w:rsid w:val="00C050FF"/>
    <w:rsid w:val="00C74EF6"/>
    <w:rsid w:val="00C84A7B"/>
    <w:rsid w:val="00C95555"/>
    <w:rsid w:val="00CB5991"/>
    <w:rsid w:val="00CF036B"/>
    <w:rsid w:val="00D453CD"/>
    <w:rsid w:val="00D7750F"/>
    <w:rsid w:val="00D8377F"/>
    <w:rsid w:val="00DB70E6"/>
    <w:rsid w:val="00DC7D8A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2020-04-09T17:54:00Z</dcterms:created>
  <dcterms:modified xsi:type="dcterms:W3CDTF">2020-04-09T17:54:00Z</dcterms:modified>
</cp:coreProperties>
</file>